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57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sz w:val="36"/>
          <w:szCs w:val="36"/>
        </w:rPr>
        <w:t>年度余杭区社会科学研究课题选题指南</w:t>
      </w:r>
    </w:p>
    <w:p>
      <w:pPr>
        <w:spacing w:line="570" w:lineRule="exact"/>
        <w:ind w:firstLine="640" w:firstLineChars="200"/>
        <w:jc w:val="left"/>
        <w:rPr>
          <w:rFonts w:hint="eastAsia" w:eastAsia="仿宋"/>
          <w:color w:val="000000"/>
          <w:sz w:val="32"/>
          <w:szCs w:val="32"/>
        </w:rPr>
      </w:pPr>
    </w:p>
    <w:p>
      <w:pPr>
        <w:spacing w:line="570" w:lineRule="exact"/>
        <w:ind w:firstLine="640" w:firstLineChars="200"/>
        <w:jc w:val="left"/>
        <w:rPr>
          <w:rFonts w:hint="eastAsia" w:eastAsia="黑体"/>
          <w:snapToGrid w:val="0"/>
          <w:sz w:val="32"/>
          <w:szCs w:val="40"/>
        </w:rPr>
      </w:pPr>
      <w:r>
        <w:rPr>
          <w:rFonts w:hint="eastAsia" w:eastAsia="仿宋"/>
          <w:color w:val="000000"/>
          <w:sz w:val="32"/>
          <w:szCs w:val="32"/>
        </w:rPr>
        <w:t>标※号的</w:t>
      </w:r>
      <w:r>
        <w:rPr>
          <w:rFonts w:hint="eastAsia" w:eastAsia="仿宋"/>
          <w:color w:val="000000"/>
          <w:sz w:val="32"/>
          <w:szCs w:val="32"/>
          <w:lang w:eastAsia="zh-CN"/>
        </w:rPr>
        <w:t>拟</w:t>
      </w:r>
      <w:r>
        <w:rPr>
          <w:rFonts w:hint="eastAsia" w:eastAsia="仿宋"/>
          <w:color w:val="000000"/>
          <w:sz w:val="32"/>
          <w:szCs w:val="32"/>
        </w:rPr>
        <w:t>为重点资助课题，其它为常规课题。</w:t>
      </w:r>
    </w:p>
    <w:p>
      <w:pPr>
        <w:spacing w:line="560" w:lineRule="exact"/>
        <w:ind w:firstLine="640" w:firstLineChars="200"/>
        <w:contextualSpacing/>
        <w:rPr>
          <w:rFonts w:hint="eastAsia" w:eastAsia="方正小标宋_GBK"/>
          <w:color w:val="000000"/>
          <w:sz w:val="36"/>
          <w:szCs w:val="36"/>
        </w:rPr>
      </w:pPr>
      <w:r>
        <w:rPr>
          <w:rFonts w:hint="eastAsia" w:eastAsia="黑体"/>
          <w:snapToGrid w:val="0"/>
          <w:sz w:val="32"/>
          <w:szCs w:val="40"/>
        </w:rPr>
        <w:t>一、</w:t>
      </w:r>
      <w:r>
        <w:rPr>
          <w:rFonts w:ascii="黑体" w:hAnsi="黑体" w:eastAsia="黑体" w:cs="Times New Roman"/>
          <w:bCs/>
          <w:sz w:val="32"/>
          <w:szCs w:val="32"/>
        </w:rPr>
        <w:t>习近平新时代中国特色社会主义思想和党的二十大精神研究</w:t>
      </w:r>
      <w:r>
        <w:rPr>
          <w:rFonts w:hint="eastAsia" w:ascii="黑体" w:hAnsi="黑体" w:eastAsia="黑体" w:cs="Times New Roman"/>
          <w:bCs/>
          <w:sz w:val="32"/>
          <w:szCs w:val="32"/>
        </w:rPr>
        <w:t>系列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.习近平新时代中国特色社会主义思想在余杭的实践研究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2.以中国式现代化推进中华民族伟大复兴的理论和实践研究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3.中国式现代化内涵特征、中国特色、本质要求、目标任务和实现途径在余杭的实践研究</w:t>
      </w:r>
    </w:p>
    <w:p>
      <w:pPr>
        <w:spacing w:line="570" w:lineRule="exact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※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4.余杭忠实践行“八八战略”的实践经验与深化对策研究</w:t>
      </w:r>
    </w:p>
    <w:p>
      <w:pPr>
        <w:spacing w:line="570" w:lineRule="exact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※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.习近平总书记对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eastAsia="zh-CN"/>
        </w:rPr>
        <w:t>余杭</w:t>
      </w:r>
      <w:r>
        <w:rPr>
          <w:rFonts w:hint="eastAsia" w:ascii="仿宋_GB2312" w:hAnsi="仿宋_GB2312" w:eastAsia="仿宋_GB2312" w:cs="仿宋_GB2312"/>
          <w:snapToGrid w:val="0"/>
          <w:sz w:val="32"/>
          <w:szCs w:val="40"/>
        </w:rPr>
        <w:t>工作系列重要指示批示精神研究</w:t>
      </w:r>
    </w:p>
    <w:p>
      <w:pPr>
        <w:spacing w:line="560" w:lineRule="exact"/>
        <w:ind w:firstLine="640" w:firstLineChars="200"/>
        <w:contextualSpacing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二、推动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余杭区建设杭州城市新中心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，争当“两个先行”排头兵</w:t>
      </w:r>
      <w:r>
        <w:rPr>
          <w:rFonts w:hint="eastAsia" w:ascii="黑体" w:hAnsi="黑体" w:eastAsia="黑体" w:cs="Times New Roman"/>
          <w:bCs/>
          <w:sz w:val="32"/>
          <w:szCs w:val="32"/>
        </w:rPr>
        <w:t>范例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研究系列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（一）经济研究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※1.打好经济翻身仗背景下余杭区助企纾困、提振经济复苏的建议对策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※2.余杭推进“两廊一轴”高质量融合发展研究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3.余杭区共同富裕“收入分配制度改革先行示范”的实施路径研究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※4.提升余杭区共同富裕水平、优化共同富裕指数的对策建议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※5.促进余杭区农民农村共同富裕实现路径研究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6.余杭区高层次人才引育用的问题与对策研究</w:t>
      </w:r>
    </w:p>
    <w:p>
      <w:pPr>
        <w:spacing w:line="570" w:lineRule="exact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 xml:space="preserve">    ※7.余杭区支持农业、农村和农企发展、升级提能“地瓜经济”的对策建议  </w:t>
      </w:r>
    </w:p>
    <w:p>
      <w:pPr>
        <w:spacing w:line="570" w:lineRule="exact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 xml:space="preserve">    8.余杭推动制造业数字化转型研究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9.余杭推动平台经济、直播经济、共享经济持续健康发展研究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10.优化支持余杭区“五大产业生态圈”高质量发展的产业政策体系研究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11.“产业大脑+未来工厂”促进余杭“专精特新”发展的路径与对策研究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  <w:t>12.打造一流营商环境构建“亲清”政商关系的思考与对策研究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  <w:t>13.共同富裕未来乡村建设的“余杭模式”研究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  <w:t>14.余杭区“西部富美”实践路径研究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  <w:t>15.杭州西站枢纽科技创新共同体的建构路径研究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  <w:t>16.探索校地合作科教产融合范式研究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40"/>
          <w:lang w:val="en-US" w:eastAsia="zh-CN"/>
        </w:rPr>
        <w:t>※17.“杭州余杭—衢州柯城”山海协作的推进方向与助推共同富裕的路径研究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（二）</w:t>
      </w:r>
      <w:r>
        <w:rPr>
          <w:rFonts w:hint="eastAsia"/>
        </w:rPr>
        <w:t>文化研究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数字化赋能余杭地域特色文化转化与发展研究</w:t>
      </w:r>
    </w:p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※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.在共同富裕中实现</w:t>
      </w:r>
      <w:bookmarkStart w:id="0" w:name="_Hlk95610696"/>
      <w:r>
        <w:rPr>
          <w:rFonts w:hint="eastAsia" w:ascii="仿宋_GB2312" w:hAnsi="仿宋_GB2312" w:eastAsia="仿宋_GB2312" w:cs="仿宋_GB2312"/>
        </w:rPr>
        <w:t>精神富有</w:t>
      </w:r>
      <w:bookmarkEnd w:id="0"/>
      <w:r>
        <w:rPr>
          <w:rFonts w:hint="eastAsia" w:ascii="仿宋_GB2312" w:hAnsi="仿宋_GB2312" w:eastAsia="仿宋_GB2312" w:cs="仿宋_GB2312"/>
        </w:rPr>
        <w:t>的余杭实践研究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余杭区打造文化地标助力共同富裕高质量发展研究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※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</w:rPr>
        <w:t>余杭文旅资源串珠成链规划建设研究</w:t>
      </w:r>
    </w:p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余杭</w:t>
      </w:r>
      <w:r>
        <w:rPr>
          <w:rFonts w:hint="eastAsia" w:ascii="仿宋_GB2312" w:hAnsi="仿宋_GB2312" w:eastAsia="仿宋_GB2312" w:cs="仿宋_GB2312"/>
          <w:lang w:eastAsia="zh-CN"/>
        </w:rPr>
        <w:t>区</w:t>
      </w:r>
      <w:r>
        <w:rPr>
          <w:rFonts w:hint="eastAsia" w:ascii="仿宋_GB2312" w:hAnsi="仿宋_GB2312" w:eastAsia="仿宋_GB2312" w:cs="仿宋_GB2312"/>
        </w:rPr>
        <w:t>千年古镇</w:t>
      </w:r>
      <w:r>
        <w:rPr>
          <w:rFonts w:hint="eastAsia" w:ascii="仿宋_GB2312" w:hAnsi="仿宋_GB2312" w:eastAsia="仿宋_GB2312" w:cs="仿宋_GB2312"/>
          <w:lang w:eastAsia="zh-CN"/>
        </w:rPr>
        <w:t>复兴试点的实践路径</w:t>
      </w:r>
      <w:r>
        <w:rPr>
          <w:rFonts w:hint="eastAsia" w:ascii="仿宋_GB2312" w:hAnsi="仿宋_GB2312" w:eastAsia="仿宋_GB2312" w:cs="仿宋_GB2312"/>
        </w:rPr>
        <w:t>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良渚、运河、径山三大文化综合带动效应研究</w:t>
      </w:r>
    </w:p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※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</w:rPr>
        <w:t>良渚遗址保护和展示研究</w:t>
      </w:r>
    </w:p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8.</w:t>
      </w:r>
      <w:r>
        <w:rPr>
          <w:rFonts w:hint="eastAsia" w:ascii="仿宋_GB2312" w:hAnsi="仿宋_GB2312" w:eastAsia="仿宋_GB2312" w:cs="仿宋_GB2312"/>
        </w:rPr>
        <w:t>苕溪文化挖掘保护利用研究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9.</w:t>
      </w:r>
      <w:r>
        <w:rPr>
          <w:rFonts w:hint="eastAsia" w:ascii="仿宋_GB2312" w:hAnsi="仿宋_GB2312" w:eastAsia="仿宋_GB2312" w:cs="仿宋_GB2312"/>
          <w:sz w:val="32"/>
          <w:szCs w:val="32"/>
        </w:rPr>
        <w:t>余杭区加快推进文旅深度融合发展，助力径山茶文化基因解码及品牌提升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创新径山茶宴体验形式，促进余杭茶产业高质量发展研究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余杭区文化遗产</w:t>
      </w:r>
      <w:r>
        <w:rPr>
          <w:rFonts w:hint="eastAsia" w:ascii="仿宋_GB2312" w:hAnsi="仿宋_GB2312" w:eastAsia="仿宋_GB2312" w:cs="仿宋_GB2312"/>
          <w:sz w:val="32"/>
          <w:szCs w:val="32"/>
        </w:rPr>
        <w:t>的活态保护与国际化传播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12.</w:t>
      </w:r>
      <w:r>
        <w:rPr>
          <w:rFonts w:hint="eastAsia" w:ascii="仿宋_GB2312" w:hAnsi="仿宋_GB2312" w:eastAsia="仿宋_GB2312" w:cs="仿宋_GB2312"/>
          <w:sz w:val="32"/>
          <w:szCs w:val="32"/>
        </w:rPr>
        <w:t>杭州余杭宋韵文化品牌IP构建和传播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路径研究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亚运会与余杭城市形象国际传播新路径研究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余杭两宋诗词文化研究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15.余杭红色文化品牌塑造和红色资源整合开发研究</w:t>
      </w:r>
    </w:p>
    <w:p>
      <w:pPr>
        <w:pStyle w:val="5"/>
        <w:numPr>
          <w:ilvl w:val="0"/>
          <w:numId w:val="0"/>
        </w:numPr>
        <w:ind w:right="0" w:rightChars="0"/>
        <w:rPr>
          <w:rFonts w:hint="eastAsia" w:ascii="Times New Roman" w:hAnsi="Times New Roman" w:eastAsia="黑体" w:cs="Times New Roman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cs="Times New Roman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 xml:space="preserve">  （三）</w:t>
      </w:r>
      <w:r>
        <w:rPr>
          <w:rFonts w:hint="eastAsia" w:ascii="Times New Roman" w:hAnsi="Times New Roman" w:eastAsia="黑体" w:cs="Times New Roman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 xml:space="preserve">城市提升与生态建设研究 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1.城乡融合促进共同富裕现代化基本单元，打造幸福共同体的余杭模式研究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2.争创综合性国家科学中心核心区的余杭实践研究</w:t>
      </w:r>
    </w:p>
    <w:p>
      <w:pPr>
        <w:spacing w:line="57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40"/>
          <w:lang w:val="en-US" w:eastAsia="zh-CN"/>
        </w:rPr>
        <w:t>※3.余杭实施“创新策源工程”助推城市发展的对策研究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4.余杭区提高基本公共服务设施布局均衡性、可及性对策研究  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5.城市新中心视野下余杭高质量建设青年发展型城区策略研究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6.“八八战略”指引下余杭科技成果转化生态构建与机理研究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7.集体建设用地发展保障性租赁住房的实践与思考</w:t>
      </w:r>
    </w:p>
    <w:p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</w:rPr>
      </w:pPr>
      <w:r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  <w:lang w:val="en-US" w:eastAsia="zh-CN"/>
        </w:rPr>
        <w:t xml:space="preserve">   8.</w:t>
      </w:r>
      <w:r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</w:rPr>
        <w:t>余杭区提升全域人居和生态环境对策研究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textAlignment w:val="auto"/>
        <w:rPr>
          <w:rFonts w:hint="eastAsia" w:ascii="仿宋_GB2312" w:hAnsi="仿宋_GB2312" w:eastAsia="仿宋_GB2312" w:cs="仿宋_GB2312"/>
          <w:b/>
          <w:snapToGrid w:val="0"/>
          <w:spacing w:val="0"/>
          <w:szCs w:val="40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9.余杭区全面提升环境治理体系和治理能力研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究</w:t>
      </w:r>
    </w:p>
    <w:p>
      <w:pPr>
        <w:spacing w:line="560" w:lineRule="exact"/>
        <w:contextualSpacing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10.余杭培育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壮大绿色环保战略性新兴产业集群研究</w:t>
      </w:r>
    </w:p>
    <w:p>
      <w:pPr>
        <w:pStyle w:val="5"/>
        <w:numPr>
          <w:ilvl w:val="0"/>
          <w:numId w:val="0"/>
        </w:numPr>
        <w:ind w:right="0" w:rightChars="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/>
          <w:lang w:val="en-US" w:eastAsia="zh-CN"/>
        </w:rPr>
        <w:t xml:space="preserve">   （四）社会研究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1.科技创新驱动社会智治的实践逻辑与实现路径研究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2.数智赋能背景下高质量教育实施路径研究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3.余杭实施“美好教育工程”打造义务教育均衡区的对策建议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4余杭区青年人才生活成本现状、问题与对策建议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5.共同富裕背景下县域“一老一小”系统解决方案的余杭模式研究</w:t>
      </w:r>
    </w:p>
    <w:p>
      <w:pPr>
        <w:pStyle w:val="5"/>
        <w:numPr>
          <w:ilvl w:val="0"/>
          <w:numId w:val="0"/>
        </w:numPr>
        <w:ind w:right="0" w:righ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  6.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余杭实施“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舒心就医工程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服务体系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的对策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7.城市新中心建设背景下的涉外管理和服务工作研究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8.共同富裕背景下住房公积金制度创新研究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9.双减背景下家校共育提升学生幸福感的策略研究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right="0" w:rightChars="0"/>
        <w:textAlignment w:val="auto"/>
        <w:rPr>
          <w:rFonts w:hint="eastAsia" w:ascii="黑体" w:hAnsi="黑体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10.余杭区打造全域知识产权保护体系对策研究</w:t>
      </w: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 w:cs="Times New Roman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 xml:space="preserve"> （五）</w:t>
      </w:r>
      <w:r>
        <w:rPr>
          <w:rFonts w:hint="eastAsia"/>
          <w:lang w:val="en-US" w:eastAsia="zh-CN"/>
        </w:rPr>
        <w:t>党建研究</w:t>
      </w:r>
    </w:p>
    <w:p>
      <w:pPr>
        <w:pStyle w:val="5"/>
        <w:numPr>
          <w:ilvl w:val="0"/>
          <w:numId w:val="0"/>
        </w:numPr>
        <w:ind w:leftChars="200" w:right="0" w:rightChars="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>※1.小古城村“众人的事情由众人商量”全过程人民民主实践研究及理论溯源</w:t>
      </w:r>
    </w:p>
    <w:p>
      <w:pPr>
        <w:pStyle w:val="5"/>
        <w:numPr>
          <w:ilvl w:val="0"/>
          <w:numId w:val="0"/>
        </w:numPr>
        <w:ind w:leftChars="200" w:right="0" w:rightChars="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 xml:space="preserve"> ※2.余杭区深入实施“红色根脉强基工程”研究</w:t>
      </w:r>
    </w:p>
    <w:p>
      <w:pPr>
        <w:pStyle w:val="5"/>
        <w:numPr>
          <w:ilvl w:val="0"/>
          <w:numId w:val="0"/>
        </w:numPr>
        <w:ind w:leftChars="200" w:right="0" w:rightChars="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3.余杭区持续提升新时代基层党建工作水平研究</w:t>
      </w:r>
    </w:p>
    <w:p>
      <w:pPr>
        <w:pStyle w:val="5"/>
        <w:numPr>
          <w:ilvl w:val="0"/>
          <w:numId w:val="0"/>
        </w:numPr>
        <w:ind w:leftChars="200" w:right="0" w:rightChars="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>※4.余杭加强新时代廉洁文化建设研究</w:t>
      </w:r>
    </w:p>
    <w:p>
      <w:pPr>
        <w:pStyle w:val="5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  <w:t>团结凝聚新社会阶层人士助力“八八战略”实施的余杭实践</w:t>
      </w:r>
    </w:p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※</w:t>
      </w:r>
      <w:r>
        <w:rPr>
          <w:rFonts w:hint="eastAsia" w:ascii="仿宋_GB2312" w:hAnsi="仿宋_GB2312" w:eastAsia="仿宋_GB2312" w:cs="仿宋_GB2312"/>
          <w:snapToGrid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</w:rPr>
        <w:t>.新时代意识形态工作的特点和规律研究</w:t>
      </w:r>
    </w:p>
    <w:p>
      <w:pPr>
        <w:pStyle w:val="5"/>
        <w:numPr>
          <w:ilvl w:val="0"/>
          <w:numId w:val="0"/>
        </w:numPr>
        <w:ind w:leftChars="200" w:right="0" w:right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7.余杭党建统领重大决策落实、重大工作推进、重大风险防控政策研究</w:t>
      </w:r>
    </w:p>
    <w:p>
      <w:pPr>
        <w:pStyle w:val="6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</w:rPr>
      </w:pPr>
      <w:r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  <w:lang w:val="en-US" w:eastAsia="zh-CN"/>
        </w:rPr>
        <w:t xml:space="preserve">   8.</w:t>
      </w:r>
      <w:r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</w:rPr>
        <w:t>新时代加强基层思想政治工作实践研究</w:t>
      </w:r>
    </w:p>
    <w:p>
      <w:pPr>
        <w:pStyle w:val="6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snapToGrid w:val="0"/>
          <w:spacing w:val="0"/>
          <w:szCs w:val="40"/>
        </w:rPr>
      </w:pPr>
    </w:p>
    <w:p>
      <w:pPr>
        <w:autoSpaceDE w:val="0"/>
        <w:spacing w:line="570" w:lineRule="exact"/>
        <w:ind w:firstLine="643" w:firstLineChars="200"/>
        <w:rPr>
          <w:rFonts w:hint="eastAsia" w:eastAsia="方正小标宋_GBK"/>
          <w:b/>
          <w:bCs/>
          <w:sz w:val="36"/>
          <w:szCs w:val="36"/>
        </w:rPr>
      </w:pPr>
      <w:r>
        <w:rPr>
          <w:rFonts w:hint="eastAsia" w:eastAsia="仿宋"/>
          <w:b/>
          <w:bCs/>
          <w:sz w:val="32"/>
          <w:szCs w:val="32"/>
        </w:rPr>
        <w:t>以上课题名称仅作参考，各单位和参与研究人员可根据实际自主选题。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snapToGrid w:val="0"/>
          <w:spacing w:val="0"/>
          <w:kern w:val="2"/>
          <w:sz w:val="32"/>
          <w:szCs w:val="40"/>
          <w:lang w:val="en-US" w:eastAsia="zh-CN" w:bidi="ar-SA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70" w:lineRule="exact"/>
        <w:ind w:leftChars="200" w:right="0" w:rightChars="0"/>
        <w:textAlignment w:val="auto"/>
        <w:rPr>
          <w:rFonts w:hint="eastAsia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52D7A"/>
    <w:multiLevelType w:val="singleLevel"/>
    <w:tmpl w:val="64352D7A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259BC9"/>
    <w:rsid w:val="F5259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customStyle="1" w:styleId="5">
    <w:name w:val="黑体"/>
    <w:basedOn w:val="1"/>
    <w:uiPriority w:val="0"/>
    <w:pPr>
      <w:keepNext w:val="0"/>
      <w:keepLines w:val="0"/>
      <w:widowControl/>
      <w:suppressLineNumbers w:val="0"/>
      <w:snapToGrid w:val="0"/>
      <w:spacing w:before="0" w:beforeAutospacing="0" w:after="0" w:afterAutospacing="0" w:line="570" w:lineRule="exact"/>
      <w:ind w:left="0" w:right="0" w:firstLine="640" w:firstLineChars="200"/>
      <w:jc w:val="left"/>
    </w:pPr>
    <w:rPr>
      <w:rFonts w:hint="eastAsia" w:ascii="Times New Roman" w:hAnsi="Times New Roman" w:eastAsia="黑体" w:cs="Times New Roman"/>
      <w:kern w:val="2"/>
      <w:sz w:val="32"/>
      <w:szCs w:val="40"/>
      <w:lang w:val="en-US" w:eastAsia="zh-CN" w:bidi="ar-SA"/>
    </w:rPr>
  </w:style>
  <w:style w:type="paragraph" w:customStyle="1" w:styleId="6">
    <w:name w:val="居中楷体"/>
    <w:basedOn w:val="2"/>
    <w:uiPriority w:val="0"/>
    <w:pPr>
      <w:widowControl/>
      <w:spacing w:before="48" w:after="0" w:line="570" w:lineRule="exact"/>
      <w:ind w:firstLine="640" w:firstLineChars="200"/>
      <w:jc w:val="center"/>
      <w:outlineLvl w:val="2"/>
    </w:pPr>
    <w:rPr>
      <w:rFonts w:hint="eastAsia" w:ascii="楷体" w:hAnsi="楷体" w:eastAsia="楷体" w:cs="仿宋"/>
      <w:b/>
      <w:spacing w:val="3"/>
      <w:sz w:val="32"/>
      <w:szCs w:val="22"/>
    </w:rPr>
  </w:style>
  <w:style w:type="character" w:customStyle="1" w:styleId="7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2023-04-12T16:28:00Z</dcterms:created>
  <dc:creator>歪才公子</dc:creator>
  <cp:lastModifiedBy>歪才公子</cp:lastModifiedBy>
  <dcterms:modified xsi:type="dcterms:W3CDTF">2023-04-12T16:28:54Z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0DAF52015409B0ACBE6B366421C51E91_41</vt:lpwstr>
  </property>
</Properties>
</file>